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81" w:rsidRDefault="006B5C40">
      <w:r>
        <w:t>FAS</w:t>
      </w:r>
    </w:p>
    <w:p w:rsidR="006B5C40" w:rsidRDefault="006B5C40">
      <w:r>
        <w:t>GE</w:t>
      </w:r>
    </w:p>
    <w:p w:rsidR="006B5C40" w:rsidRDefault="006B5C40">
      <w:proofErr w:type="gramStart"/>
      <w:r>
        <w:t>AMG</w:t>
      </w:r>
      <w:r w:rsidR="00BB43F3">
        <w:t xml:space="preserve"> American general finance.</w:t>
      </w:r>
      <w:proofErr w:type="gramEnd"/>
    </w:p>
    <w:p w:rsidR="006B5C40" w:rsidRDefault="006B5C40">
      <w:r>
        <w:t>BLK RCK</w:t>
      </w:r>
    </w:p>
    <w:p w:rsidR="006B5C40" w:rsidRDefault="006B5C40">
      <w:r>
        <w:t>COLUMBIA</w:t>
      </w:r>
      <w:r w:rsidR="000F20BB">
        <w:t xml:space="preserve"> Mid cap g</w:t>
      </w:r>
      <w:r>
        <w:br/>
        <w:t>EATON VANCE VHINA</w:t>
      </w:r>
    </w:p>
    <w:p w:rsidR="006B5C40" w:rsidRDefault="006B5C40">
      <w:r>
        <w:t>INVESTCO TECH</w:t>
      </w:r>
    </w:p>
    <w:p w:rsidR="006B5C40" w:rsidRDefault="006B5C40">
      <w:r>
        <w:t>STILL LIKE ALL ABOVE.</w:t>
      </w:r>
    </w:p>
    <w:p w:rsidR="006B5C40" w:rsidRDefault="006B5C40"/>
    <w:p w:rsidR="006B5C40" w:rsidRDefault="006B5C40">
      <w:r>
        <w:t>EXISTING STUFF:</w:t>
      </w:r>
    </w:p>
    <w:p w:rsidR="006B5C40" w:rsidRDefault="006B5C40"/>
    <w:p w:rsidR="006B5C40" w:rsidRDefault="006B5C40">
      <w:r>
        <w:t>KFT down trend in strong market don’t like it.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6"/>
        <w:gridCol w:w="791"/>
      </w:tblGrid>
      <w:tr w:rsidR="00CC72BD" w:rsidRPr="00CC72BD" w:rsidTr="00CC72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72BD" w:rsidRPr="00CC72BD" w:rsidRDefault="00CC72BD" w:rsidP="00CC72BD">
            <w:pPr>
              <w:spacing w:after="0" w:line="319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C72B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Yield </w:t>
            </w:r>
          </w:p>
        </w:tc>
        <w:tc>
          <w:tcPr>
            <w:tcW w:w="0" w:type="auto"/>
            <w:vAlign w:val="center"/>
            <w:hideMark/>
          </w:tcPr>
          <w:p w:rsidR="00CC72BD" w:rsidRPr="00CC72BD" w:rsidRDefault="00CC72BD" w:rsidP="00CC72BD">
            <w:pPr>
              <w:spacing w:after="0" w:line="319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C72B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3.70% </w:t>
            </w:r>
          </w:p>
        </w:tc>
      </w:tr>
      <w:tr w:rsidR="00CC72BD" w:rsidRPr="00CC72BD" w:rsidTr="00CC72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72BD" w:rsidRPr="00CC72BD" w:rsidRDefault="00CC72BD" w:rsidP="00CC72BD">
            <w:pPr>
              <w:spacing w:after="0" w:line="319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C72B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Sales Growth* </w:t>
            </w:r>
          </w:p>
        </w:tc>
        <w:tc>
          <w:tcPr>
            <w:tcW w:w="0" w:type="auto"/>
            <w:vAlign w:val="center"/>
            <w:hideMark/>
          </w:tcPr>
          <w:p w:rsidR="00CC72BD" w:rsidRPr="00CC72BD" w:rsidRDefault="00CC72BD" w:rsidP="00CC72BD">
            <w:pPr>
              <w:spacing w:after="0" w:line="319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C72B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-3.70% </w:t>
            </w:r>
          </w:p>
        </w:tc>
      </w:tr>
      <w:tr w:rsidR="00CC72BD" w:rsidRPr="00CC72BD" w:rsidTr="00CC72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72BD" w:rsidRPr="00CC72BD" w:rsidRDefault="00CC72BD" w:rsidP="00CC72BD">
            <w:pPr>
              <w:spacing w:after="0" w:line="319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C72B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Income Growth* </w:t>
            </w:r>
          </w:p>
        </w:tc>
        <w:tc>
          <w:tcPr>
            <w:tcW w:w="0" w:type="auto"/>
            <w:vAlign w:val="center"/>
            <w:hideMark/>
          </w:tcPr>
          <w:p w:rsidR="00CC72BD" w:rsidRPr="00CC72BD" w:rsidRDefault="00CC72BD" w:rsidP="00CC72BD">
            <w:pPr>
              <w:spacing w:after="0" w:line="319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C72B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>+64.30%</w:t>
            </w:r>
          </w:p>
        </w:tc>
      </w:tr>
    </w:tbl>
    <w:p w:rsidR="00CC72BD" w:rsidRDefault="00CC72BD"/>
    <w:p w:rsidR="00B2553C" w:rsidRDefault="00B2553C" w:rsidP="00B2553C"/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4"/>
        <w:gridCol w:w="1902"/>
        <w:gridCol w:w="974"/>
        <w:gridCol w:w="1699"/>
        <w:gridCol w:w="821"/>
      </w:tblGrid>
      <w:tr w:rsidR="00B2553C" w:rsidRPr="006B5C40" w:rsidTr="0028220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EEEEE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6B5C40" w:rsidRPr="006B5C40" w:rsidRDefault="00B2553C" w:rsidP="00282201">
            <w:pPr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B5C40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Company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EEEEE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6B5C40" w:rsidRPr="006B5C40" w:rsidRDefault="00B2553C" w:rsidP="00282201">
            <w:pPr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B5C40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Enterprise Value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EEEEE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6B5C40" w:rsidRPr="006B5C40" w:rsidRDefault="00B2553C" w:rsidP="00282201">
            <w:pPr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B5C40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EBIT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EEEEE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6B5C40" w:rsidRPr="006B5C40" w:rsidRDefault="00B2553C" w:rsidP="00282201">
            <w:pPr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B5C40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Earnings Yield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EEEEEE"/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6B5C40" w:rsidRPr="006B5C40" w:rsidRDefault="00B2553C" w:rsidP="00282201">
            <w:pPr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B5C40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ROA</w:t>
            </w:r>
          </w:p>
        </w:tc>
      </w:tr>
      <w:tr w:rsidR="00B2553C" w:rsidRPr="006B5C40" w:rsidTr="0028220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B2553C" w:rsidRPr="006B5C40" w:rsidRDefault="00B2553C" w:rsidP="0028220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B5C40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Altria</w:t>
            </w:r>
            <w:r w:rsidRPr="006B5C4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6B5C40">
              <w:rPr>
                <w:rFonts w:ascii="Times New Roman" w:eastAsia="Times New Roman" w:hAnsi="Times New Roman" w:cs="Times New Roman"/>
                <w:sz w:val="21"/>
              </w:rPr>
              <w:t xml:space="preserve">(NYSE: </w:t>
            </w:r>
            <w:hyperlink r:id="rId4" w:history="1">
              <w:r w:rsidRPr="006B5C40">
                <w:rPr>
                  <w:rFonts w:ascii="Times New Roman" w:eastAsia="Times New Roman" w:hAnsi="Times New Roman" w:cs="Times New Roman"/>
                  <w:color w:val="0066AA"/>
                  <w:sz w:val="21"/>
                  <w:u w:val="single"/>
                </w:rPr>
                <w:t>MO</w:t>
              </w:r>
            </w:hyperlink>
            <w:r w:rsidRPr="006B5C40">
              <w:rPr>
                <w:rFonts w:ascii="Times New Roman" w:eastAsia="Times New Roman" w:hAnsi="Times New Roman" w:cs="Times New Roman"/>
                <w:sz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6B5C40" w:rsidRPr="006B5C40" w:rsidRDefault="00B2553C" w:rsidP="00282201">
            <w:pPr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B5C40">
              <w:rPr>
                <w:rFonts w:ascii="Times New Roman" w:eastAsia="Times New Roman" w:hAnsi="Times New Roman" w:cs="Times New Roman"/>
                <w:sz w:val="21"/>
                <w:szCs w:val="21"/>
              </w:rPr>
              <w:t>$60,616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6B5C40" w:rsidRPr="006B5C40" w:rsidRDefault="00B2553C" w:rsidP="00282201">
            <w:pPr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B5C40">
              <w:rPr>
                <w:rFonts w:ascii="Times New Roman" w:eastAsia="Times New Roman" w:hAnsi="Times New Roman" w:cs="Times New Roman"/>
                <w:sz w:val="21"/>
                <w:szCs w:val="21"/>
              </w:rPr>
              <w:t>$6,416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6B5C40" w:rsidRPr="006B5C40" w:rsidRDefault="00B2553C" w:rsidP="00282201">
            <w:pPr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B5C40">
              <w:rPr>
                <w:rFonts w:ascii="Times New Roman" w:eastAsia="Times New Roman" w:hAnsi="Times New Roman" w:cs="Times New Roman"/>
                <w:sz w:val="21"/>
                <w:szCs w:val="21"/>
              </w:rPr>
              <w:t>10.6%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6B5C40" w:rsidRPr="006B5C40" w:rsidRDefault="00B2553C" w:rsidP="00282201">
            <w:pPr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B5C40">
              <w:rPr>
                <w:rFonts w:ascii="Times New Roman" w:eastAsia="Times New Roman" w:hAnsi="Times New Roman" w:cs="Times New Roman"/>
                <w:sz w:val="21"/>
                <w:szCs w:val="21"/>
              </w:rPr>
              <w:t>11.0%</w:t>
            </w:r>
          </w:p>
        </w:tc>
      </w:tr>
      <w:tr w:rsidR="00B2553C" w:rsidRPr="006B5C40" w:rsidTr="0028220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B2553C" w:rsidRPr="006B5C40" w:rsidRDefault="00B2553C" w:rsidP="0028220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B5C40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Lorillard</w:t>
            </w:r>
            <w:r w:rsidRPr="006B5C4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6B5C40">
              <w:rPr>
                <w:rFonts w:ascii="Times New Roman" w:eastAsia="Times New Roman" w:hAnsi="Times New Roman" w:cs="Times New Roman"/>
                <w:sz w:val="21"/>
              </w:rPr>
              <w:t xml:space="preserve">(NYSE: </w:t>
            </w:r>
            <w:hyperlink r:id="rId5" w:history="1">
              <w:r w:rsidRPr="006B5C40">
                <w:rPr>
                  <w:rFonts w:ascii="Times New Roman" w:eastAsia="Times New Roman" w:hAnsi="Times New Roman" w:cs="Times New Roman"/>
                  <w:color w:val="0066AA"/>
                  <w:sz w:val="21"/>
                  <w:u w:val="single"/>
                </w:rPr>
                <w:t>L</w:t>
              </w:r>
              <w:r w:rsidRPr="006B5C40">
                <w:rPr>
                  <w:rFonts w:ascii="Times New Roman" w:eastAsia="Times New Roman" w:hAnsi="Times New Roman" w:cs="Times New Roman"/>
                  <w:color w:val="0066AA"/>
                  <w:sz w:val="21"/>
                  <w:u w:val="single"/>
                </w:rPr>
                <w:t>O</w:t>
              </w:r>
            </w:hyperlink>
            <w:r w:rsidRPr="006B5C40">
              <w:rPr>
                <w:rFonts w:ascii="Times New Roman" w:eastAsia="Times New Roman" w:hAnsi="Times New Roman" w:cs="Times New Roman"/>
                <w:sz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6B5C40" w:rsidRPr="006B5C40" w:rsidRDefault="00B2553C" w:rsidP="00282201">
            <w:pPr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B5C40">
              <w:rPr>
                <w:rFonts w:ascii="Times New Roman" w:eastAsia="Times New Roman" w:hAnsi="Times New Roman" w:cs="Times New Roman"/>
                <w:sz w:val="21"/>
                <w:szCs w:val="21"/>
              </w:rPr>
              <w:t>$10,917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6B5C40" w:rsidRPr="006B5C40" w:rsidRDefault="00B2553C" w:rsidP="00282201">
            <w:pPr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B5C40">
              <w:rPr>
                <w:rFonts w:ascii="Times New Roman" w:eastAsia="Times New Roman" w:hAnsi="Times New Roman" w:cs="Times New Roman"/>
                <w:sz w:val="21"/>
                <w:szCs w:val="21"/>
              </w:rPr>
              <w:t>$1,788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6B5C40" w:rsidRPr="006B5C40" w:rsidRDefault="00B2553C" w:rsidP="00282201">
            <w:pPr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B5C40">
              <w:rPr>
                <w:rFonts w:ascii="Times New Roman" w:eastAsia="Times New Roman" w:hAnsi="Times New Roman" w:cs="Times New Roman"/>
                <w:sz w:val="21"/>
                <w:szCs w:val="21"/>
              </w:rPr>
              <w:t>16.4%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6B5C40" w:rsidRPr="006B5C40" w:rsidRDefault="00B2553C" w:rsidP="00282201">
            <w:pPr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B5C40">
              <w:rPr>
                <w:rFonts w:ascii="Times New Roman" w:eastAsia="Times New Roman" w:hAnsi="Times New Roman" w:cs="Times New Roman"/>
                <w:sz w:val="21"/>
                <w:szCs w:val="21"/>
              </w:rPr>
              <w:t>35.7%</w:t>
            </w:r>
          </w:p>
        </w:tc>
      </w:tr>
      <w:tr w:rsidR="00B2553C" w:rsidRPr="006B5C40" w:rsidTr="0028220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B2553C" w:rsidRPr="006B5C40" w:rsidRDefault="00B2553C" w:rsidP="0028220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B5C40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Reynolds American</w:t>
            </w:r>
            <w:r w:rsidRPr="006B5C4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6B5C40">
              <w:rPr>
                <w:rFonts w:ascii="Times New Roman" w:eastAsia="Times New Roman" w:hAnsi="Times New Roman" w:cs="Times New Roman"/>
                <w:sz w:val="21"/>
              </w:rPr>
              <w:t xml:space="preserve">(NYSE: </w:t>
            </w:r>
            <w:hyperlink r:id="rId6" w:history="1">
              <w:r w:rsidRPr="006B5C40">
                <w:rPr>
                  <w:rFonts w:ascii="Times New Roman" w:eastAsia="Times New Roman" w:hAnsi="Times New Roman" w:cs="Times New Roman"/>
                  <w:color w:val="0066AA"/>
                  <w:sz w:val="21"/>
                  <w:u w:val="single"/>
                </w:rPr>
                <w:t>RAI</w:t>
              </w:r>
            </w:hyperlink>
            <w:r w:rsidRPr="006B5C40">
              <w:rPr>
                <w:rFonts w:ascii="Times New Roman" w:eastAsia="Times New Roman" w:hAnsi="Times New Roman" w:cs="Times New Roman"/>
                <w:sz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6B5C40" w:rsidRPr="006B5C40" w:rsidRDefault="00B2553C" w:rsidP="00282201">
            <w:pPr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B5C40">
              <w:rPr>
                <w:rFonts w:ascii="Times New Roman" w:eastAsia="Times New Roman" w:hAnsi="Times New Roman" w:cs="Times New Roman"/>
                <w:sz w:val="21"/>
                <w:szCs w:val="21"/>
              </w:rPr>
              <w:t>$20,623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6B5C40" w:rsidRPr="006B5C40" w:rsidRDefault="00B2553C" w:rsidP="00282201">
            <w:pPr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B5C40">
              <w:rPr>
                <w:rFonts w:ascii="Times New Roman" w:eastAsia="Times New Roman" w:hAnsi="Times New Roman" w:cs="Times New Roman"/>
                <w:sz w:val="21"/>
                <w:szCs w:val="21"/>
              </w:rPr>
              <w:t>$2,600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6B5C40" w:rsidRPr="006B5C40" w:rsidRDefault="00B2553C" w:rsidP="00282201">
            <w:pPr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B5C40">
              <w:rPr>
                <w:rFonts w:ascii="Times New Roman" w:eastAsia="Times New Roman" w:hAnsi="Times New Roman" w:cs="Times New Roman"/>
                <w:sz w:val="21"/>
                <w:szCs w:val="21"/>
              </w:rPr>
              <w:t>12.6%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6B5C40" w:rsidRPr="006B5C40" w:rsidRDefault="00B2553C" w:rsidP="00282201">
            <w:pPr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B5C40">
              <w:rPr>
                <w:rFonts w:ascii="Times New Roman" w:eastAsia="Times New Roman" w:hAnsi="Times New Roman" w:cs="Times New Roman"/>
                <w:sz w:val="21"/>
                <w:szCs w:val="21"/>
              </w:rPr>
              <w:t>9.3%</w:t>
            </w:r>
          </w:p>
        </w:tc>
      </w:tr>
      <w:tr w:rsidR="00B2553C" w:rsidRPr="006B5C40" w:rsidTr="00282201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B2553C" w:rsidRPr="006B5C40" w:rsidRDefault="00B2553C" w:rsidP="00282201">
            <w:pPr>
              <w:spacing w:after="0" w:line="330" w:lineRule="atLeas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B5C40">
              <w:rPr>
                <w:rFonts w:ascii="Times New Roman" w:eastAsia="Times New Roman" w:hAnsi="Times New Roman" w:cs="Times New Roman"/>
                <w:b/>
                <w:bCs/>
                <w:sz w:val="21"/>
              </w:rPr>
              <w:t>Philip Morris International</w:t>
            </w:r>
            <w:r w:rsidRPr="006B5C40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6B5C40">
              <w:rPr>
                <w:rFonts w:ascii="Times New Roman" w:eastAsia="Times New Roman" w:hAnsi="Times New Roman" w:cs="Times New Roman"/>
                <w:sz w:val="21"/>
              </w:rPr>
              <w:t xml:space="preserve">(NYSE: </w:t>
            </w:r>
            <w:hyperlink r:id="rId7" w:history="1">
              <w:r w:rsidRPr="006B5C40">
                <w:rPr>
                  <w:rFonts w:ascii="Times New Roman" w:eastAsia="Times New Roman" w:hAnsi="Times New Roman" w:cs="Times New Roman"/>
                  <w:color w:val="0066AA"/>
                  <w:sz w:val="21"/>
                  <w:u w:val="single"/>
                </w:rPr>
                <w:t>PM</w:t>
              </w:r>
            </w:hyperlink>
            <w:r w:rsidRPr="006B5C40">
              <w:rPr>
                <w:rFonts w:ascii="Times New Roman" w:eastAsia="Times New Roman" w:hAnsi="Times New Roman" w:cs="Times New Roman"/>
                <w:sz w:val="21"/>
              </w:rPr>
              <w:t>)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6B5C40" w:rsidRPr="006B5C40" w:rsidRDefault="00B2553C" w:rsidP="00282201">
            <w:pPr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B5C40">
              <w:rPr>
                <w:rFonts w:ascii="Times New Roman" w:eastAsia="Times New Roman" w:hAnsi="Times New Roman" w:cs="Times New Roman"/>
                <w:sz w:val="21"/>
                <w:szCs w:val="21"/>
              </w:rPr>
              <w:t>$118,207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6B5C40" w:rsidRPr="006B5C40" w:rsidRDefault="00B2553C" w:rsidP="00282201">
            <w:pPr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B5C40">
              <w:rPr>
                <w:rFonts w:ascii="Times New Roman" w:eastAsia="Times New Roman" w:hAnsi="Times New Roman" w:cs="Times New Roman"/>
                <w:sz w:val="21"/>
                <w:szCs w:val="21"/>
              </w:rPr>
              <w:t>$10,944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6B5C40" w:rsidRPr="006B5C40" w:rsidRDefault="00B2553C" w:rsidP="00282201">
            <w:pPr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B5C40">
              <w:rPr>
                <w:rFonts w:ascii="Times New Roman" w:eastAsia="Times New Roman" w:hAnsi="Times New Roman" w:cs="Times New Roman"/>
                <w:sz w:val="21"/>
                <w:szCs w:val="21"/>
              </w:rPr>
              <w:t>9.3%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6B5C40" w:rsidRPr="006B5C40" w:rsidRDefault="00B2553C" w:rsidP="00282201">
            <w:pPr>
              <w:spacing w:before="100" w:beforeAutospacing="1" w:after="100" w:afterAutospacing="1" w:line="3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B5C40">
              <w:rPr>
                <w:rFonts w:ascii="Times New Roman" w:eastAsia="Times New Roman" w:hAnsi="Times New Roman" w:cs="Times New Roman"/>
                <w:sz w:val="21"/>
                <w:szCs w:val="21"/>
              </w:rPr>
              <w:t>19.4%</w:t>
            </w:r>
          </w:p>
        </w:tc>
      </w:tr>
    </w:tbl>
    <w:p w:rsidR="00B2553C" w:rsidRPr="006B5C40" w:rsidRDefault="00B2553C" w:rsidP="00B2553C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21"/>
          <w:szCs w:val="21"/>
        </w:rPr>
      </w:pPr>
      <w:r w:rsidRPr="006B5C40">
        <w:rPr>
          <w:rFonts w:ascii="Times New Roman" w:eastAsia="Times New Roman" w:hAnsi="Times New Roman" w:cs="Times New Roman"/>
          <w:sz w:val="21"/>
          <w:szCs w:val="21"/>
        </w:rPr>
        <w:t xml:space="preserve">Source: Capital IQ, a division of Standard &amp; Poor's. </w:t>
      </w:r>
      <w:proofErr w:type="gramStart"/>
      <w:r w:rsidRPr="006B5C40">
        <w:rPr>
          <w:rFonts w:ascii="Times New Roman" w:eastAsia="Times New Roman" w:hAnsi="Times New Roman" w:cs="Times New Roman"/>
          <w:sz w:val="21"/>
          <w:szCs w:val="21"/>
        </w:rPr>
        <w:t>Trailing-12-month figures.</w:t>
      </w:r>
      <w:proofErr w:type="gramEnd"/>
    </w:p>
    <w:p w:rsidR="00B2553C" w:rsidRDefault="00B2553C" w:rsidP="00B2553C">
      <w:pPr>
        <w:pStyle w:val="NormalWeb"/>
        <w:shd w:val="clear" w:color="auto" w:fill="FFFFFF"/>
        <w:spacing w:line="330" w:lineRule="atLeast"/>
        <w:rPr>
          <w:sz w:val="21"/>
          <w:szCs w:val="21"/>
        </w:rPr>
      </w:pPr>
      <w:r>
        <w:rPr>
          <w:sz w:val="21"/>
          <w:szCs w:val="21"/>
        </w:rPr>
        <w:t xml:space="preserve">To find </w:t>
      </w:r>
      <w:r>
        <w:rPr>
          <w:rStyle w:val="Emphasis"/>
          <w:sz w:val="21"/>
          <w:szCs w:val="21"/>
        </w:rPr>
        <w:t>cheap</w:t>
      </w:r>
      <w:r>
        <w:rPr>
          <w:sz w:val="21"/>
          <w:szCs w:val="21"/>
        </w:rPr>
        <w:t xml:space="preserve"> companies, the Magic Formula looks for a high </w:t>
      </w:r>
      <w:hyperlink r:id="rId8" w:tooltip="Get the definition on The Motley Fool Investing Wiki" w:history="1">
        <w:r>
          <w:rPr>
            <w:color w:val="222222"/>
            <w:sz w:val="21"/>
            <w:szCs w:val="21"/>
            <w:u w:val="single"/>
          </w:rPr>
          <w:t>earnings yield</w:t>
        </w:r>
      </w:hyperlink>
      <w:r>
        <w:rPr>
          <w:sz w:val="21"/>
          <w:szCs w:val="21"/>
        </w:rPr>
        <w:t xml:space="preserve"> -- basically, a company's EBIT divided by its </w:t>
      </w:r>
      <w:hyperlink r:id="rId9" w:tooltip="Get the definition on The Motley Fool Investing Wiki" w:history="1">
        <w:r>
          <w:rPr>
            <w:color w:val="222222"/>
            <w:sz w:val="21"/>
            <w:szCs w:val="21"/>
            <w:u w:val="single"/>
          </w:rPr>
          <w:t>enterprise value</w:t>
        </w:r>
      </w:hyperlink>
      <w:r>
        <w:rPr>
          <w:sz w:val="21"/>
          <w:szCs w:val="21"/>
        </w:rPr>
        <w:t xml:space="preserve">. EBIT is </w:t>
      </w:r>
      <w:hyperlink r:id="rId10" w:tooltip="Get the definition on The Motley Fool Investing Wiki" w:history="1">
        <w:r>
          <w:rPr>
            <w:color w:val="222222"/>
            <w:sz w:val="21"/>
            <w:szCs w:val="21"/>
            <w:u w:val="single"/>
          </w:rPr>
          <w:t>earnings before interest and taxes</w:t>
        </w:r>
      </w:hyperlink>
      <w:r>
        <w:rPr>
          <w:sz w:val="21"/>
          <w:szCs w:val="21"/>
        </w:rPr>
        <w:t xml:space="preserve">, otherwise known as operating earnings. Enterprise value includes the company’s </w:t>
      </w:r>
      <w:hyperlink r:id="rId11" w:tooltip="Get the definition on The Motley Fool Investing Wiki" w:history="1">
        <w:r>
          <w:rPr>
            <w:color w:val="222222"/>
            <w:sz w:val="21"/>
            <w:szCs w:val="21"/>
            <w:u w:val="single"/>
          </w:rPr>
          <w:t>market capitalization</w:t>
        </w:r>
      </w:hyperlink>
      <w:r>
        <w:rPr>
          <w:sz w:val="21"/>
          <w:szCs w:val="21"/>
        </w:rPr>
        <w:t xml:space="preserve">, </w:t>
      </w:r>
      <w:proofErr w:type="gramStart"/>
      <w:r>
        <w:rPr>
          <w:sz w:val="21"/>
          <w:szCs w:val="21"/>
        </w:rPr>
        <w:t>then</w:t>
      </w:r>
      <w:proofErr w:type="gramEnd"/>
      <w:r>
        <w:rPr>
          <w:sz w:val="21"/>
          <w:szCs w:val="21"/>
        </w:rPr>
        <w:t xml:space="preserve"> adds its net debt. In general, the higher the earnings </w:t>
      </w:r>
      <w:proofErr w:type="gramStart"/>
      <w:r>
        <w:rPr>
          <w:sz w:val="21"/>
          <w:szCs w:val="21"/>
        </w:rPr>
        <w:t>yield,</w:t>
      </w:r>
      <w:proofErr w:type="gramEnd"/>
      <w:r>
        <w:rPr>
          <w:sz w:val="21"/>
          <w:szCs w:val="21"/>
        </w:rPr>
        <w:t xml:space="preserve"> the better.  Magic Formula looks for a yield higher than 10%.</w:t>
      </w:r>
    </w:p>
    <w:p w:rsidR="00B2553C" w:rsidRDefault="00B2553C" w:rsidP="00B2553C">
      <w:pPr>
        <w:pStyle w:val="NormalWeb"/>
        <w:shd w:val="clear" w:color="auto" w:fill="FFFFFF"/>
        <w:spacing w:line="330" w:lineRule="atLeast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To find </w:t>
      </w:r>
      <w:r>
        <w:rPr>
          <w:rStyle w:val="Emphasis"/>
          <w:sz w:val="21"/>
          <w:szCs w:val="21"/>
        </w:rPr>
        <w:t>profitable</w:t>
      </w:r>
      <w:r>
        <w:rPr>
          <w:sz w:val="21"/>
          <w:szCs w:val="21"/>
        </w:rPr>
        <w:t xml:space="preserve"> companies, </w:t>
      </w:r>
      <w:proofErr w:type="spellStart"/>
      <w:r>
        <w:rPr>
          <w:sz w:val="21"/>
          <w:szCs w:val="21"/>
        </w:rPr>
        <w:t>Greenblatt's</w:t>
      </w:r>
      <w:proofErr w:type="spellEnd"/>
      <w:r>
        <w:rPr>
          <w:sz w:val="21"/>
          <w:szCs w:val="21"/>
        </w:rPr>
        <w:t xml:space="preserve"> Magic Formula seeks businesses that generate returns on assets (ROA) greater than 25%. In other words, for every $100 in assets it holds, the company would produce at least $25 in net profit. </w:t>
      </w:r>
      <w:proofErr w:type="gramStart"/>
      <w:r>
        <w:rPr>
          <w:sz w:val="21"/>
          <w:szCs w:val="21"/>
        </w:rPr>
        <w:t>In general, the higher the ROA, the better the business.</w:t>
      </w:r>
      <w:proofErr w:type="gramEnd"/>
      <w:r>
        <w:rPr>
          <w:sz w:val="21"/>
          <w:szCs w:val="21"/>
        </w:rPr>
        <w:t xml:space="preserve">  </w:t>
      </w:r>
      <w:proofErr w:type="spellStart"/>
      <w:r>
        <w:rPr>
          <w:sz w:val="21"/>
          <w:szCs w:val="21"/>
        </w:rPr>
        <w:t>Greenblatt</w:t>
      </w:r>
      <w:proofErr w:type="spellEnd"/>
      <w:r>
        <w:rPr>
          <w:sz w:val="21"/>
          <w:szCs w:val="21"/>
        </w:rPr>
        <w:t xml:space="preserve"> looks for companies with an ROA higher than 25%</w:t>
      </w:r>
    </w:p>
    <w:p w:rsidR="00B2553C" w:rsidRDefault="00B2553C"/>
    <w:p w:rsidR="006B5C40" w:rsidRDefault="006B5C40">
      <w:r>
        <w:t xml:space="preserve">MO broke below 52 w </w:t>
      </w:r>
      <w:proofErr w:type="gramStart"/>
      <w:r>
        <w:t>ma  no</w:t>
      </w:r>
      <w:proofErr w:type="gramEnd"/>
      <w:r>
        <w:t xml:space="preserve"> good</w:t>
      </w:r>
      <w:r w:rsidR="00CC72BD">
        <w:t xml:space="preserve"> 6.31% div Yield.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6"/>
        <w:gridCol w:w="791"/>
      </w:tblGrid>
      <w:tr w:rsidR="00CC72BD" w:rsidRPr="00CC72BD" w:rsidTr="00CC72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72BD" w:rsidRPr="00CC72BD" w:rsidRDefault="00CC72BD" w:rsidP="00CC72BD">
            <w:pPr>
              <w:spacing w:after="0" w:line="319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C72B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Sales Growth* </w:t>
            </w:r>
          </w:p>
        </w:tc>
        <w:tc>
          <w:tcPr>
            <w:tcW w:w="0" w:type="auto"/>
            <w:vAlign w:val="center"/>
            <w:hideMark/>
          </w:tcPr>
          <w:p w:rsidR="00CC72BD" w:rsidRPr="00CC72BD" w:rsidRDefault="00CC72BD" w:rsidP="00CC72BD">
            <w:pPr>
              <w:spacing w:after="0" w:line="319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C72BD">
              <w:rPr>
                <w:rFonts w:ascii="Arial" w:eastAsia="Times New Roman" w:hAnsi="Arial" w:cs="Arial"/>
                <w:color w:val="333333"/>
                <w:sz w:val="18"/>
              </w:rPr>
              <w:t>+21.70%</w:t>
            </w:r>
            <w:r w:rsidRPr="00CC72B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CC72BD" w:rsidRPr="00CC72BD" w:rsidTr="00CC72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72BD" w:rsidRPr="00CC72BD" w:rsidRDefault="00CC72BD" w:rsidP="00CC72BD">
            <w:pPr>
              <w:spacing w:after="0" w:line="319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C72B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Income Growth* </w:t>
            </w:r>
          </w:p>
        </w:tc>
        <w:tc>
          <w:tcPr>
            <w:tcW w:w="0" w:type="auto"/>
            <w:vAlign w:val="center"/>
            <w:hideMark/>
          </w:tcPr>
          <w:p w:rsidR="00CC72BD" w:rsidRPr="00CC72BD" w:rsidRDefault="00CC72BD" w:rsidP="00CC72BD">
            <w:pPr>
              <w:spacing w:after="0" w:line="319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C72BD">
              <w:rPr>
                <w:rFonts w:ascii="Arial" w:eastAsia="Times New Roman" w:hAnsi="Arial" w:cs="Arial"/>
                <w:color w:val="333333"/>
                <w:sz w:val="18"/>
              </w:rPr>
              <w:t>+5.90%</w:t>
            </w:r>
            <w:r w:rsidRPr="00CC72B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</w:tbl>
    <w:p w:rsidR="00CC72BD" w:rsidRDefault="00CC72BD"/>
    <w:p w:rsidR="006B5C40" w:rsidRDefault="006B5C40">
      <w:r>
        <w:t xml:space="preserve">PM no good also below 52 w ma 4.5% </w:t>
      </w:r>
      <w:proofErr w:type="spellStart"/>
      <w:r>
        <w:t>yeld</w:t>
      </w:r>
      <w:proofErr w:type="spellEnd"/>
      <w:r>
        <w:t xml:space="preserve"> </w:t>
      </w:r>
      <w:proofErr w:type="spellStart"/>
      <w:r>
        <w:t>divs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6"/>
        <w:gridCol w:w="646"/>
      </w:tblGrid>
      <w:tr w:rsidR="00CC72BD" w:rsidRPr="00CC72BD" w:rsidTr="00CC72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72BD" w:rsidRPr="00CC72BD" w:rsidRDefault="00CC72BD" w:rsidP="00CC72BD">
            <w:pPr>
              <w:spacing w:after="0" w:line="319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C72B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Sales Growth* </w:t>
            </w:r>
          </w:p>
        </w:tc>
        <w:tc>
          <w:tcPr>
            <w:tcW w:w="0" w:type="auto"/>
            <w:vAlign w:val="center"/>
            <w:hideMark/>
          </w:tcPr>
          <w:p w:rsidR="00CC72BD" w:rsidRPr="00CC72BD" w:rsidRDefault="00CC72BD" w:rsidP="00CC72BD">
            <w:pPr>
              <w:spacing w:after="0" w:line="319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C72BD">
              <w:rPr>
                <w:rFonts w:ascii="Arial" w:eastAsia="Times New Roman" w:hAnsi="Arial" w:cs="Arial"/>
                <w:color w:val="333333"/>
                <w:sz w:val="18"/>
              </w:rPr>
              <w:t>-2.50%</w:t>
            </w:r>
            <w:r w:rsidRPr="00CC72B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  <w:tr w:rsidR="00CC72BD" w:rsidRPr="00CC72BD" w:rsidTr="00CC72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72BD" w:rsidRPr="00CC72BD" w:rsidRDefault="00CC72BD" w:rsidP="00CC72BD">
            <w:pPr>
              <w:spacing w:after="0" w:line="319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C72B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Income Growth* </w:t>
            </w:r>
          </w:p>
        </w:tc>
        <w:tc>
          <w:tcPr>
            <w:tcW w:w="0" w:type="auto"/>
            <w:vAlign w:val="center"/>
            <w:hideMark/>
          </w:tcPr>
          <w:p w:rsidR="00CC72BD" w:rsidRPr="00CC72BD" w:rsidRDefault="00CC72BD" w:rsidP="00CC72BD">
            <w:pPr>
              <w:spacing w:after="0" w:line="319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CC72BD">
              <w:rPr>
                <w:rFonts w:ascii="Arial" w:eastAsia="Times New Roman" w:hAnsi="Arial" w:cs="Arial"/>
                <w:color w:val="333333"/>
                <w:sz w:val="18"/>
              </w:rPr>
              <w:t>-8.10%</w:t>
            </w:r>
            <w:r w:rsidRPr="00CC72BD">
              <w:rPr>
                <w:rFonts w:ascii="Arial" w:eastAsia="Times New Roman" w:hAnsi="Arial" w:cs="Arial"/>
                <w:color w:val="333333"/>
                <w:sz w:val="18"/>
                <w:szCs w:val="18"/>
              </w:rPr>
              <w:t xml:space="preserve"> </w:t>
            </w:r>
          </w:p>
        </w:tc>
      </w:tr>
    </w:tbl>
    <w:p w:rsidR="00CC72BD" w:rsidRDefault="00CC72BD"/>
    <w:p w:rsidR="00CC72BD" w:rsidRDefault="00CC72BD"/>
    <w:p w:rsidR="006B5C40" w:rsidRDefault="006B5C40">
      <w:r>
        <w:t xml:space="preserve">OAKBX </w:t>
      </w:r>
      <w:proofErr w:type="spellStart"/>
      <w:r>
        <w:t>oakmark</w:t>
      </w:r>
      <w:proofErr w:type="spellEnd"/>
      <w:r>
        <w:t xml:space="preserve"> equity + income good</w:t>
      </w:r>
    </w:p>
    <w:p w:rsidR="006B5C40" w:rsidRDefault="006B5C40">
      <w:proofErr w:type="spellStart"/>
      <w:r>
        <w:t>Oakwx</w:t>
      </w:r>
      <w:proofErr w:type="spellEnd"/>
      <w:r>
        <w:t xml:space="preserve"> oak global</w:t>
      </w:r>
    </w:p>
    <w:p w:rsidR="00CC72BD" w:rsidRDefault="00CC72BD"/>
    <w:p w:rsidR="006B5C40" w:rsidRDefault="006B5C40">
      <w:r>
        <w:t xml:space="preserve">Zebra </w:t>
      </w:r>
      <w:proofErr w:type="gramStart"/>
      <w:r>
        <w:t>tech love</w:t>
      </w:r>
      <w:proofErr w:type="gramEnd"/>
      <w:r>
        <w:t xml:space="preserve"> it.</w:t>
      </w:r>
    </w:p>
    <w:p w:rsidR="006B5C40" w:rsidRDefault="006B5C40"/>
    <w:p w:rsidR="006B5C40" w:rsidRDefault="00B2553C">
      <w:r>
        <w:t xml:space="preserve">AEPGX American Euro Pacific </w:t>
      </w:r>
      <w:proofErr w:type="gramStart"/>
      <w:r>
        <w:t>G  …</w:t>
      </w:r>
      <w:proofErr w:type="gramEnd"/>
      <w:r>
        <w:t xml:space="preserve"> Looks </w:t>
      </w:r>
      <w:proofErr w:type="spellStart"/>
      <w:r>
        <w:t>toped</w:t>
      </w:r>
      <w:proofErr w:type="spellEnd"/>
      <w:r>
        <w:t xml:space="preserve"> off…</w:t>
      </w:r>
    </w:p>
    <w:p w:rsidR="00B2553C" w:rsidRDefault="00B2553C">
      <w:proofErr w:type="gramStart"/>
      <w:r>
        <w:t xml:space="preserve">BA  </w:t>
      </w:r>
      <w:proofErr w:type="spellStart"/>
      <w:r>
        <w:t>boing</w:t>
      </w:r>
      <w:proofErr w:type="spellEnd"/>
      <w:proofErr w:type="gramEnd"/>
      <w:r>
        <w:t xml:space="preserve"> HOLD GREAT CHART.  </w:t>
      </w:r>
    </w:p>
    <w:p w:rsidR="00B2553C" w:rsidRDefault="00B2553C"/>
    <w:p w:rsidR="00B2553C" w:rsidRDefault="00B2553C">
      <w:proofErr w:type="gramStart"/>
      <w:r>
        <w:t>CAT caterpillar HOLD good charts.</w:t>
      </w:r>
      <w:proofErr w:type="gramEnd"/>
    </w:p>
    <w:p w:rsidR="00B2553C" w:rsidRDefault="00B2553C"/>
    <w:p w:rsidR="00B2553C" w:rsidRDefault="00B2553C">
      <w:r>
        <w:t>3M MMM Hold to see if it can break</w:t>
      </w:r>
      <w:r w:rsidR="001F4932">
        <w:t xml:space="preserve"> clearly </w:t>
      </w:r>
      <w:r>
        <w:t xml:space="preserve"> above 90</w:t>
      </w:r>
      <w:r w:rsidR="001F4932">
        <w:t xml:space="preserve"> if so then  95 is next stop and if it breaks above that then it is in clear territory and </w:t>
      </w:r>
      <w:proofErr w:type="spellStart"/>
      <w:r w:rsidR="001F4932">
        <w:t>shoul;d</w:t>
      </w:r>
      <w:proofErr w:type="spellEnd"/>
      <w:r w:rsidR="001F4932">
        <w:t xml:space="preserve"> keep going.  90 is the test.</w:t>
      </w:r>
    </w:p>
    <w:p w:rsidR="001F4932" w:rsidRDefault="001F4932"/>
    <w:p w:rsidR="001F4932" w:rsidRDefault="001F4932">
      <w:r>
        <w:t xml:space="preserve">USB US Bank Corp.  Good chart, good sales </w:t>
      </w:r>
      <w:proofErr w:type="spellStart"/>
      <w:r>
        <w:t>growt</w:t>
      </w:r>
      <w:proofErr w:type="spellEnd"/>
      <w:r>
        <w:t xml:space="preserve"> and income growth keep for now.</w:t>
      </w:r>
    </w:p>
    <w:p w:rsidR="001F4932" w:rsidRDefault="001F4932">
      <w:r>
        <w:lastRenderedPageBreak/>
        <w:t xml:space="preserve">TROW PRICE FUNDS….  Not particularly impressed with the positions but at the moment they are holding up ok so </w:t>
      </w:r>
      <w:proofErr w:type="spellStart"/>
      <w:r>
        <w:t>woud</w:t>
      </w:r>
      <w:proofErr w:type="spellEnd"/>
      <w:r>
        <w:t xml:space="preserve"> stand by. Or we could swap out to a bit more aggressive positions.</w:t>
      </w:r>
    </w:p>
    <w:p w:rsidR="001F4932" w:rsidRDefault="001F4932"/>
    <w:p w:rsidR="001F4932" w:rsidRDefault="001F4932"/>
    <w:p w:rsidR="001F4932" w:rsidRDefault="001F4932"/>
    <w:p w:rsidR="00B2553C" w:rsidRDefault="00B2553C"/>
    <w:p w:rsidR="006B5C40" w:rsidRDefault="006B5C40"/>
    <w:sectPr w:rsidR="006B5C40" w:rsidSect="00466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5C40"/>
    <w:rsid w:val="000F20BB"/>
    <w:rsid w:val="001F4932"/>
    <w:rsid w:val="00375E8B"/>
    <w:rsid w:val="00466181"/>
    <w:rsid w:val="006B5C40"/>
    <w:rsid w:val="00B2553C"/>
    <w:rsid w:val="00BB43F3"/>
    <w:rsid w:val="00CC7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B5C40"/>
    <w:rPr>
      <w:b/>
      <w:bCs/>
    </w:rPr>
  </w:style>
  <w:style w:type="paragraph" w:styleId="NormalWeb">
    <w:name w:val="Normal (Web)"/>
    <w:basedOn w:val="Normal"/>
    <w:uiPriority w:val="99"/>
    <w:unhideWhenUsed/>
    <w:rsid w:val="006B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edit">
    <w:name w:val="credit"/>
    <w:basedOn w:val="Normal"/>
    <w:rsid w:val="006B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cker1">
    <w:name w:val="ticker1"/>
    <w:basedOn w:val="DefaultParagraphFont"/>
    <w:rsid w:val="006B5C40"/>
  </w:style>
  <w:style w:type="character" w:styleId="Emphasis">
    <w:name w:val="Emphasis"/>
    <w:basedOn w:val="DefaultParagraphFont"/>
    <w:uiPriority w:val="20"/>
    <w:qFormat/>
    <w:rsid w:val="00CC72BD"/>
    <w:rPr>
      <w:i/>
      <w:iCs/>
    </w:rPr>
  </w:style>
  <w:style w:type="character" w:customStyle="1" w:styleId="down5">
    <w:name w:val="down5"/>
    <w:basedOn w:val="DefaultParagraphFont"/>
    <w:rsid w:val="00CC72BD"/>
  </w:style>
  <w:style w:type="character" w:customStyle="1" w:styleId="up5">
    <w:name w:val="up5"/>
    <w:basedOn w:val="DefaultParagraphFont"/>
    <w:rsid w:val="00CC72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7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0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7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5271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4028">
                              <w:marLeft w:val="160"/>
                              <w:marRight w:val="16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2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149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793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06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91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59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42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012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8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2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9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69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776363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96183">
                              <w:marLeft w:val="160"/>
                              <w:marRight w:val="16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6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2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732831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547280">
                              <w:marLeft w:val="160"/>
                              <w:marRight w:val="16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1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2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53942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39992">
                              <w:marLeft w:val="160"/>
                              <w:marRight w:val="16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76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ki.fool.com/Earnings_yield?source=ihlsitlnk000000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aps.fool.com/Ticker/PM.aspx?source=isssitthv000000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ps.fool.com/Ticker/RAI.aspx?source=isssitthv0000001" TargetMode="External"/><Relationship Id="rId11" Type="http://schemas.openxmlformats.org/officeDocument/2006/relationships/hyperlink" Target="http://wiki.fool.com/Market_capitalization?source=ihlsitlnk0000001" TargetMode="External"/><Relationship Id="rId5" Type="http://schemas.openxmlformats.org/officeDocument/2006/relationships/hyperlink" Target="http://caps.fool.com/Ticker/LO.aspx?source=isssitthv0000001" TargetMode="External"/><Relationship Id="rId10" Type="http://schemas.openxmlformats.org/officeDocument/2006/relationships/hyperlink" Target="http://wiki.fool.com/Earnings_Before_Interest_and_Taxes?source=ihlsitlnk0000001" TargetMode="External"/><Relationship Id="rId4" Type="http://schemas.openxmlformats.org/officeDocument/2006/relationships/hyperlink" Target="http://caps.fool.com/Ticker/MO.aspx?source=isssitthv0000001" TargetMode="External"/><Relationship Id="rId9" Type="http://schemas.openxmlformats.org/officeDocument/2006/relationships/hyperlink" Target="http://wiki.fool.com/Enterprise_value?source=ihlsitlnk00000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5</cp:revision>
  <dcterms:created xsi:type="dcterms:W3CDTF">2011-01-25T16:30:00Z</dcterms:created>
  <dcterms:modified xsi:type="dcterms:W3CDTF">2011-01-25T17:22:00Z</dcterms:modified>
</cp:coreProperties>
</file>